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ascii="黑体" w:hAnsi="黑体" w:eastAsia="黑体"/>
          <w:sz w:val="32"/>
          <w:szCs w:val="32"/>
        </w:rPr>
      </w:pPr>
      <w:r>
        <w:rPr>
          <w:rFonts w:hint="eastAsia" w:ascii="黑体" w:hAnsi="黑体" w:eastAsia="黑体"/>
          <w:sz w:val="32"/>
          <w:szCs w:val="32"/>
        </w:rPr>
        <w:t>附件1</w:t>
      </w:r>
    </w:p>
    <w:p>
      <w:pPr>
        <w:spacing w:line="300" w:lineRule="exact"/>
        <w:ind w:firstLine="320" w:firstLineChars="100"/>
        <w:rPr>
          <w:rFonts w:hint="eastAsia" w:ascii="黑体" w:hAnsi="黑体" w:eastAsia="黑体"/>
          <w:sz w:val="32"/>
          <w:szCs w:val="32"/>
        </w:rPr>
      </w:pPr>
    </w:p>
    <w:p>
      <w:pPr>
        <w:snapToGrid w:val="0"/>
        <w:spacing w:line="540" w:lineRule="exact"/>
        <w:jc w:val="center"/>
        <w:rPr>
          <w:rFonts w:hint="eastAsia" w:ascii="华文中宋" w:hAnsi="华文中宋" w:eastAsia="华文中宋"/>
          <w:b/>
          <w:sz w:val="44"/>
        </w:rPr>
      </w:pPr>
      <w:bookmarkStart w:id="0" w:name="_GoBack"/>
      <w:r>
        <w:rPr>
          <w:rFonts w:hint="eastAsia" w:ascii="华文中宋" w:hAnsi="华文中宋" w:eastAsia="华文中宋"/>
          <w:b/>
          <w:sz w:val="44"/>
        </w:rPr>
        <w:t>许昌电气职业学院</w:t>
      </w:r>
    </w:p>
    <w:p>
      <w:pPr>
        <w:snapToGrid w:val="0"/>
        <w:spacing w:line="540" w:lineRule="exact"/>
        <w:jc w:val="center"/>
        <w:rPr>
          <w:rFonts w:hint="eastAsia" w:ascii="华文中宋" w:hAnsi="华文中宋" w:eastAsia="华文中宋"/>
          <w:b/>
          <w:spacing w:val="-4"/>
          <w:sz w:val="44"/>
        </w:rPr>
      </w:pPr>
      <w:r>
        <w:rPr>
          <w:rFonts w:hint="eastAsia" w:ascii="华文中宋" w:hAnsi="华文中宋" w:eastAsia="华文中宋"/>
          <w:b/>
          <w:spacing w:val="-4"/>
          <w:sz w:val="44"/>
        </w:rPr>
        <w:t>2018年度高等职业教育教学改革研究项目</w:t>
      </w:r>
    </w:p>
    <w:p>
      <w:pPr>
        <w:snapToGrid w:val="0"/>
        <w:spacing w:line="540" w:lineRule="exact"/>
        <w:jc w:val="center"/>
        <w:rPr>
          <w:rFonts w:hint="eastAsia" w:ascii="华文中宋" w:hAnsi="华文中宋" w:eastAsia="华文中宋"/>
          <w:b/>
          <w:spacing w:val="-4"/>
          <w:sz w:val="44"/>
        </w:rPr>
      </w:pPr>
      <w:r>
        <w:rPr>
          <w:rFonts w:hint="eastAsia" w:ascii="华文中宋" w:hAnsi="华文中宋" w:eastAsia="华文中宋"/>
          <w:b/>
          <w:spacing w:val="-4"/>
          <w:sz w:val="44"/>
        </w:rPr>
        <w:t>立 项 指 南</w:t>
      </w:r>
      <w:bookmarkEnd w:id="0"/>
    </w:p>
    <w:p>
      <w:pPr>
        <w:spacing w:line="400" w:lineRule="exact"/>
        <w:ind w:firstLine="600" w:firstLineChars="200"/>
        <w:rPr>
          <w:rFonts w:hint="eastAsia" w:ascii="仿宋_GB2312"/>
        </w:rPr>
      </w:pPr>
      <w:r>
        <w:rPr>
          <w:rFonts w:hint="eastAsia" w:ascii="仿宋_GB2312"/>
          <w:color w:val="FF0000"/>
        </w:rPr>
        <w:t xml:space="preserve">     </w:t>
      </w:r>
    </w:p>
    <w:p>
      <w:pPr>
        <w:ind w:firstLine="480" w:firstLineChars="150"/>
        <w:rPr>
          <w:rFonts w:hint="eastAsia" w:ascii="仿宋_GB2312" w:hAnsi="宋体" w:cs="Arial"/>
          <w:kern w:val="0"/>
          <w:sz w:val="32"/>
          <w:szCs w:val="32"/>
        </w:rPr>
      </w:pPr>
      <w:r>
        <w:rPr>
          <w:rFonts w:hint="eastAsia" w:ascii="仿宋_GB2312" w:hAnsi="宋体" w:cs="Arial"/>
          <w:kern w:val="0"/>
          <w:sz w:val="32"/>
          <w:szCs w:val="32"/>
        </w:rPr>
        <w:t>《立项指南》结合当前我院教学改革与发展的实际需要，列出了若干研究内容及方向，供选择和参考。</w:t>
      </w:r>
    </w:p>
    <w:p>
      <w:pPr>
        <w:ind w:firstLine="640" w:firstLineChars="200"/>
        <w:rPr>
          <w:rFonts w:hint="eastAsia" w:ascii="仿宋_GB2312" w:hAnsi="宋体" w:cs="Arial"/>
          <w:kern w:val="0"/>
          <w:sz w:val="32"/>
          <w:szCs w:val="32"/>
        </w:rPr>
      </w:pPr>
      <w:r>
        <w:rPr>
          <w:rFonts w:hint="eastAsia" w:ascii="仿宋_GB2312" w:hAnsi="宋体" w:cs="Arial"/>
          <w:kern w:val="0"/>
          <w:sz w:val="32"/>
          <w:szCs w:val="32"/>
        </w:rPr>
        <w:t>院级重点项目要注重高等职业教育发展动态，着力反映和解决当前高等职业教育教学改革重点、难点和热点问题，有创新，有特色，对高素质高技能人才培养有重要作用，有较强的推广应用价值。</w:t>
      </w:r>
    </w:p>
    <w:p>
      <w:pPr>
        <w:ind w:firstLine="640" w:firstLineChars="200"/>
        <w:rPr>
          <w:rFonts w:hint="eastAsia" w:ascii="黑体" w:eastAsia="黑体"/>
          <w:bCs/>
          <w:sz w:val="32"/>
          <w:szCs w:val="32"/>
        </w:rPr>
      </w:pPr>
      <w:r>
        <w:rPr>
          <w:rFonts w:hint="eastAsia" w:ascii="黑体" w:eastAsia="黑体"/>
          <w:bCs/>
          <w:sz w:val="32"/>
          <w:szCs w:val="32"/>
        </w:rPr>
        <w:t>一、综合研究</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本类选题侧重于从全省宏观战略高度研究教育教学改革的重大问题，为深化教学改革，加强教学基本建设，提高人才培养质量提供政策建议和条件支持。</w:t>
      </w:r>
    </w:p>
    <w:p>
      <w:pPr>
        <w:ind w:firstLine="640" w:firstLineChars="200"/>
        <w:rPr>
          <w:rFonts w:hint="eastAsia" w:ascii="仿宋_GB2312" w:hAnsi="仿宋_GB2312" w:cs="仿宋_GB2312"/>
          <w:kern w:val="0"/>
          <w:sz w:val="32"/>
          <w:szCs w:val="32"/>
        </w:rPr>
      </w:pPr>
      <w:r>
        <w:rPr>
          <w:rFonts w:hint="eastAsia" w:ascii="仿宋_GB2312" w:hAnsi="仿宋_GB2312" w:cs="仿宋_GB2312"/>
          <w:kern w:val="0"/>
          <w:sz w:val="32"/>
          <w:szCs w:val="32"/>
        </w:rPr>
        <w:t>1-1.</w:t>
      </w:r>
      <w:r>
        <w:rPr>
          <w:rFonts w:hint="eastAsia" w:ascii="仿宋_GB2312" w:hAnsi="仿宋_GB2312" w:cs="仿宋_GB2312"/>
          <w:sz w:val="32"/>
          <w:szCs w:val="32"/>
        </w:rPr>
        <w:t>全面深化产教融合</w:t>
      </w:r>
      <w:r>
        <w:rPr>
          <w:rFonts w:hint="eastAsia" w:ascii="仿宋_GB2312" w:hAnsi="仿宋_GB2312" w:cs="仿宋_GB2312"/>
          <w:kern w:val="0"/>
          <w:sz w:val="32"/>
          <w:szCs w:val="32"/>
        </w:rPr>
        <w:t>校企合作办学机制研究与实践;</w:t>
      </w:r>
      <w:r>
        <w:rPr>
          <w:rFonts w:hint="eastAsia" w:ascii="仿宋_GB2312" w:hAnsi="仿宋_GB2312" w:cs="仿宋_GB2312"/>
          <w:sz w:val="32"/>
          <w:szCs w:val="32"/>
        </w:rPr>
        <w:t xml:space="preserve"> </w:t>
      </w:r>
    </w:p>
    <w:p>
      <w:pPr>
        <w:ind w:firstLine="640" w:firstLineChars="200"/>
        <w:rPr>
          <w:rFonts w:hint="eastAsia" w:ascii="仿宋_GB2312" w:hAnsi="仿宋_GB2312" w:cs="仿宋_GB2312"/>
          <w:sz w:val="32"/>
          <w:szCs w:val="32"/>
        </w:rPr>
      </w:pPr>
      <w:r>
        <w:rPr>
          <w:rFonts w:hint="eastAsia" w:ascii="仿宋_GB2312" w:hAnsi="仿宋_GB2312" w:cs="仿宋_GB2312"/>
          <w:kern w:val="0"/>
          <w:sz w:val="32"/>
          <w:szCs w:val="32"/>
        </w:rPr>
        <w:t>1-2.适应区域经济与社会发展需要调整专业设置与专业方向的研究与实践;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1-3.全面深化高等教育教学综合改革的研究与实践；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1-4.提升高等教育教学质量关键问题的研究与实践；</w:t>
      </w:r>
    </w:p>
    <w:p>
      <w:pPr>
        <w:ind w:firstLine="624" w:firstLineChars="200"/>
        <w:rPr>
          <w:rFonts w:hint="eastAsia" w:ascii="仿宋_GB2312" w:hAnsi="仿宋_GB2312" w:cs="仿宋_GB2312"/>
          <w:spacing w:val="-4"/>
          <w:sz w:val="32"/>
          <w:szCs w:val="32"/>
        </w:rPr>
      </w:pPr>
      <w:r>
        <w:rPr>
          <w:rFonts w:hint="eastAsia" w:ascii="仿宋_GB2312" w:hAnsi="仿宋_GB2312" w:cs="仿宋_GB2312"/>
          <w:spacing w:val="-4"/>
          <w:sz w:val="32"/>
          <w:szCs w:val="32"/>
        </w:rPr>
        <w:t>1-5.增强高等教育教学核心竞争力的研究与实践；</w:t>
      </w:r>
    </w:p>
    <w:p>
      <w:pPr>
        <w:ind w:firstLine="624" w:firstLineChars="200"/>
        <w:rPr>
          <w:rFonts w:hint="eastAsia" w:ascii="仿宋_GB2312" w:hAnsi="仿宋_GB2312" w:cs="仿宋_GB2312"/>
          <w:spacing w:val="-4"/>
          <w:sz w:val="32"/>
          <w:szCs w:val="32"/>
        </w:rPr>
      </w:pPr>
      <w:r>
        <w:rPr>
          <w:rFonts w:hint="eastAsia" w:ascii="仿宋_GB2312" w:hAnsi="仿宋_GB2312" w:cs="仿宋_GB2312"/>
          <w:spacing w:val="-4"/>
          <w:sz w:val="32"/>
          <w:szCs w:val="32"/>
        </w:rPr>
        <w:t>1-6.学校办学定位及特色办学的研究与实践;</w:t>
      </w:r>
    </w:p>
    <w:p>
      <w:pPr>
        <w:ind w:firstLine="640" w:firstLineChars="200"/>
        <w:rPr>
          <w:rFonts w:hint="eastAsia" w:ascii="仿宋_GB2312" w:hAnsi="仿宋_GB2312" w:cs="仿宋_GB2312"/>
          <w:spacing w:val="-4"/>
          <w:sz w:val="32"/>
          <w:szCs w:val="32"/>
        </w:rPr>
      </w:pPr>
      <w:r>
        <w:rPr>
          <w:rFonts w:hint="eastAsia" w:ascii="仿宋_GB2312" w:hAnsi="仿宋_GB2312" w:cs="仿宋_GB2312"/>
          <w:sz w:val="32"/>
          <w:szCs w:val="32"/>
        </w:rPr>
        <w:t>1-7.</w:t>
      </w:r>
      <w:r>
        <w:rPr>
          <w:rFonts w:hint="eastAsia" w:ascii="仿宋_GB2312" w:hAnsi="仿宋_GB2312" w:cs="仿宋_GB2312"/>
          <w:spacing w:val="-4"/>
          <w:sz w:val="32"/>
          <w:szCs w:val="32"/>
        </w:rPr>
        <w:t>人才培养目标定位及质量标准体系的研究与实践；</w:t>
      </w:r>
    </w:p>
    <w:p>
      <w:pPr>
        <w:ind w:firstLine="624" w:firstLineChars="200"/>
        <w:rPr>
          <w:rFonts w:hint="eastAsia" w:ascii="仿宋_GB2312" w:hAnsi="仿宋_GB2312" w:cs="仿宋_GB2312"/>
          <w:spacing w:val="-4"/>
          <w:sz w:val="32"/>
          <w:szCs w:val="32"/>
        </w:rPr>
      </w:pPr>
      <w:r>
        <w:rPr>
          <w:rFonts w:hint="eastAsia" w:ascii="仿宋_GB2312" w:hAnsi="仿宋_GB2312" w:cs="仿宋_GB2312"/>
          <w:spacing w:val="-4"/>
          <w:sz w:val="32"/>
          <w:szCs w:val="32"/>
        </w:rPr>
        <w:t>1-8.高校教学质量提升核心问题研究与实践；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1-9.高等学校高层次人才队伍建设的研究与实践；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1-10.教师教学能力提升方式及评估机制的研究与实践；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1-11.高等学校加强大学生文化素质教育的途径与方法的研究与实践；</w:t>
      </w:r>
    </w:p>
    <w:p>
      <w:pPr>
        <w:ind w:firstLine="640" w:firstLineChars="200"/>
        <w:rPr>
          <w:rFonts w:hint="eastAsia" w:ascii="仿宋_GB2312" w:hAnsi="仿宋_GB2312" w:cs="仿宋_GB2312"/>
          <w:spacing w:val="-6"/>
          <w:sz w:val="32"/>
          <w:szCs w:val="32"/>
        </w:rPr>
      </w:pPr>
      <w:r>
        <w:rPr>
          <w:rFonts w:hint="eastAsia" w:ascii="仿宋_GB2312" w:hAnsi="仿宋_GB2312" w:cs="仿宋_GB2312"/>
          <w:sz w:val="32"/>
          <w:szCs w:val="32"/>
        </w:rPr>
        <w:t>1-12.高职院校“双师型”教师队</w:t>
      </w:r>
      <w:r>
        <w:rPr>
          <w:rFonts w:hint="eastAsia" w:ascii="仿宋_GB2312" w:hAnsi="仿宋_GB2312" w:cs="仿宋_GB2312"/>
          <w:spacing w:val="-6"/>
          <w:sz w:val="32"/>
          <w:szCs w:val="32"/>
        </w:rPr>
        <w:t>伍建设的研究与实践；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1-13.大数据在教育教学中的应用研究与实践；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1-14.高等职业教育优质院校建设的研究与实践；</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二、人才培养模式改革与专业建设</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本类选题侧重于对人才培养模式改革和专业建设的研究与实践，方案应突出创新特色，具有可操作性和推广价值，注重学生创新创业能力的培养。</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2-1.高等学校各类人才培养模式改革的研究与实践；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2-2.高等学校卓越工程师（师范、农林、法律、医师、新闻）人才培养模式改革的研究与实践;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2-3.高等学校产教融合协同育人模式的研究与实践;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2-4.创新型（创业型、复合型、应用型、中外合作办学等）人才培养模式及机制的研究与实践；</w:t>
      </w:r>
    </w:p>
    <w:p>
      <w:pPr>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2-5.政产学研用合作育人模式的研究与实践； </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2-6.“新工科”教育人才培养模式改革的研究与实践；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2-7.高等学校人文教育与科学教育相融合的研究与实践；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2-8.通识教育与专业教育融合人才培养模式的研究与实践；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2-9.高等职业院校“校企合作、产教融合”人才培养模式的研究与实践；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2-10.高等学校学科大类招生人才培养模式的研究与实践；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2-11.高等学校重点学科建设推进人才培养关键问题的研究与实践；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2-12.高等学校优势特色学科特区建设中人才培养模式的研究与实践；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2-13.高等学校专业建设核心要素的研究与实践；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2-14.高等学校某类专业认证关键问题的研究与实践；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2-15.高等学校某类专业评估关键问题的研究与实践；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2-16.现代学徒制教学的研究与实践。</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三、课程与教材改革</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本类选题侧重于课程体系与教学内容的改革，注重整体设计与优化，将前沿科技成果融入课堂教学，利用信息技术提升课程质量，提高学生综合素质和创新创业能力。</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3-1.高等学校课程准入、建设、评估与淘汰机制的研究与实践；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3-2.创新创业教育课程体系建设的研究与实践；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3-3.</w:t>
      </w:r>
      <w:r>
        <w:rPr>
          <w:rFonts w:hint="eastAsia" w:ascii="仿宋_GB2312" w:hAnsi="仿宋_GB2312" w:cs="仿宋_GB2312"/>
          <w:kern w:val="0"/>
          <w:sz w:val="32"/>
          <w:szCs w:val="32"/>
        </w:rPr>
        <w:t>×××××专业</w:t>
      </w:r>
      <w:r>
        <w:rPr>
          <w:rFonts w:hint="eastAsia" w:ascii="仿宋_GB2312" w:hAnsi="仿宋_GB2312" w:cs="仿宋_GB2312"/>
          <w:spacing w:val="-6"/>
          <w:sz w:val="32"/>
          <w:szCs w:val="32"/>
        </w:rPr>
        <w:t>课程体系与教学内容整体优化的研究与实践;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3-4.</w:t>
      </w:r>
      <w:r>
        <w:rPr>
          <w:rFonts w:hint="eastAsia" w:ascii="仿宋_GB2312" w:hAnsi="仿宋_GB2312" w:cs="仿宋_GB2312"/>
          <w:kern w:val="0"/>
          <w:sz w:val="32"/>
          <w:szCs w:val="32"/>
        </w:rPr>
        <w:t>×××××专业</w:t>
      </w:r>
      <w:r>
        <w:rPr>
          <w:rFonts w:hint="eastAsia" w:ascii="仿宋_GB2312" w:hAnsi="仿宋_GB2312" w:cs="仿宋_GB2312"/>
          <w:spacing w:val="-6"/>
          <w:sz w:val="32"/>
          <w:szCs w:val="32"/>
        </w:rPr>
        <w:t>立体化教材建设的研究与实践;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3-5.基于专业认证的课程体系与教学内容的研究与实践；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3-6.基于项目导向与任务驱动的高职课程改革的研究与实践；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3-7.在线开放课程建设的研究与实践；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3-8.高等学校课程考核评价方式的研究与实践；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3-9.</w:t>
      </w:r>
      <w:r>
        <w:rPr>
          <w:rFonts w:hint="eastAsia" w:ascii="仿宋_GB2312" w:hAnsi="仿宋_GB2312" w:cs="仿宋_GB2312"/>
          <w:kern w:val="0"/>
          <w:sz w:val="32"/>
          <w:szCs w:val="32"/>
        </w:rPr>
        <w:t>×××××专业</w:t>
      </w:r>
      <w:r>
        <w:rPr>
          <w:rFonts w:hint="eastAsia" w:ascii="仿宋_GB2312" w:hAnsi="仿宋_GB2312" w:cs="仿宋_GB2312"/>
          <w:spacing w:val="-6"/>
          <w:sz w:val="32"/>
          <w:szCs w:val="32"/>
        </w:rPr>
        <w:t>课程教材建设的研究与实践；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3-10.与行业职业标准相衔接的课程与教学内容体系的研究与实践；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3-11.基于CDIO（构思、设计、实现、运作）工程教育课程体系与教学内容的研究与实践；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3-12.基于产学研创融合的课程改革研究与实践。</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四、实践教学改革</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本类选题侧重于改革和完善现有实践教学体系，强化实践教学环节，保障实践教学质量，提高学生的实践动手能力。</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4-1.高等学校健全实践教学质量保障机制的研究与实践；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4-2.高等学校</w:t>
      </w:r>
      <w:r>
        <w:rPr>
          <w:rFonts w:hint="eastAsia" w:ascii="仿宋_GB2312" w:hAnsi="仿宋_GB2312" w:cs="仿宋_GB2312"/>
          <w:kern w:val="0"/>
          <w:sz w:val="32"/>
          <w:szCs w:val="32"/>
        </w:rPr>
        <w:t>×××××专业</w:t>
      </w:r>
      <w:r>
        <w:rPr>
          <w:rFonts w:hint="eastAsia" w:ascii="仿宋_GB2312" w:hAnsi="仿宋_GB2312" w:cs="仿宋_GB2312"/>
          <w:sz w:val="32"/>
          <w:szCs w:val="32"/>
        </w:rPr>
        <w:t>实践教学内容改革的研究与实践;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4-3.优化高等学校公共（基础）实验教学平台（中心）运行机制与管理模式的研究与实践；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4-4.高等学校虚拟仿真实验教学中心建设与运行机制的研究与实践；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4-5.高等学校校内（外）实训基地建设的研究与实践；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4-6.高等学校毕业设计（论文）质量保障的研究与实践;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4-7.大学生创新创业教育方法与实践体系的研究与实践；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4-8.高职院校生产性实训基地建设运行机制与管理模式的研究与实践；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4-9.高等学校实践（实验）教学质量评价体系的研究与实践；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 xml:space="preserve">4-10.创新创业人才培养质量标准的研究与实践； </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4-11.高等职业院校教师专业实践能力培养的研究与实践。</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五、教学手段与教学方法改革</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本类选题侧重于有效利用现有教学资源，应用现代信息技术，改革传统教学方法和教学手段，提高教师的教学水平和教学能力。</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5-1.基于现代信息技术的课堂教学模式改革的研究与实践；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5-2.</w:t>
      </w:r>
      <w:r>
        <w:rPr>
          <w:rFonts w:hint="eastAsia" w:ascii="仿宋_GB2312" w:hAnsi="仿宋_GB2312" w:cs="仿宋_GB2312"/>
          <w:kern w:val="0"/>
          <w:sz w:val="32"/>
          <w:szCs w:val="32"/>
        </w:rPr>
        <w:t>×××××专业</w:t>
      </w:r>
      <w:r>
        <w:rPr>
          <w:rFonts w:hint="eastAsia" w:ascii="仿宋_GB2312" w:hAnsi="仿宋_GB2312" w:cs="仿宋_GB2312"/>
          <w:sz w:val="32"/>
          <w:szCs w:val="32"/>
        </w:rPr>
        <w:t>基础课程教学手段和教学方法改革的研究与实践；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5-3.基于以学生为中心的课堂教学评价体系及评价方法的研究与实践；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5-4.网络环境下学生自主学习能力培养与评价的研究与实践；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5-5.大学探究式、讨论式、启发式、项目式教学方法的研究与实践；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5-6.“大班授课、小班研讨”教学方法改革的研究与实践；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5-7.大学“双语教学”方式方法改革的研究与实践；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5-8.高等学校各类课程考试方式方法改革的研究与实践；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5-9.高等学校传统教学媒介优势传承的研究与实践；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5-10.高职院校“教、学、做、创”一体化教学模式的研究与实践。</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六、教育教学管理</w:t>
      </w:r>
    </w:p>
    <w:p>
      <w:pPr>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本类选题侧重于高等教育大众化背景下，构建高等教育教学管理、质量保证体系和监控评价机制，提高教育教学管理水平。</w:t>
      </w:r>
    </w:p>
    <w:p>
      <w:pPr>
        <w:ind w:firstLine="640" w:firstLineChars="200"/>
        <w:rPr>
          <w:rFonts w:hint="eastAsia" w:ascii="仿宋_GB2312" w:hAnsi="仿宋_GB2312" w:cs="仿宋_GB2312"/>
          <w:spacing w:val="-6"/>
          <w:sz w:val="32"/>
          <w:szCs w:val="32"/>
        </w:rPr>
      </w:pPr>
      <w:r>
        <w:rPr>
          <w:rFonts w:hint="eastAsia" w:ascii="仿宋_GB2312" w:hAnsi="仿宋_GB2312" w:cs="仿宋_GB2312"/>
          <w:color w:val="000000"/>
          <w:sz w:val="32"/>
          <w:szCs w:val="32"/>
        </w:rPr>
        <w:t>6-1.</w:t>
      </w:r>
      <w:r>
        <w:rPr>
          <w:rFonts w:hint="eastAsia" w:ascii="仿宋_GB2312" w:hAnsi="仿宋_GB2312" w:cs="仿宋_GB2312"/>
          <w:color w:val="000000"/>
          <w:spacing w:val="-6"/>
          <w:sz w:val="32"/>
          <w:szCs w:val="32"/>
        </w:rPr>
        <w:t>高等学校创新教学质量监控体系和保障机制的研究与实践</w:t>
      </w:r>
      <w:r>
        <w:rPr>
          <w:rFonts w:hint="eastAsia" w:ascii="仿宋_GB2312" w:hAnsi="仿宋_GB2312" w:cs="仿宋_GB2312"/>
          <w:spacing w:val="-6"/>
          <w:sz w:val="32"/>
          <w:szCs w:val="32"/>
        </w:rPr>
        <w:t>；</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6-2.适应多样化人才培养需要的教学管理模式和运行机制的研究与实践；</w:t>
      </w:r>
    </w:p>
    <w:p>
      <w:pPr>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6-3.高等学校优质教学资源共建共享机制的研究与实践；</w:t>
      </w:r>
    </w:p>
    <w:p>
      <w:pPr>
        <w:ind w:firstLine="640" w:firstLineChars="200"/>
        <w:rPr>
          <w:rFonts w:hint="eastAsia" w:ascii="仿宋_GB2312" w:hAnsi="仿宋_GB2312" w:cs="仿宋_GB2312"/>
          <w:sz w:val="32"/>
          <w:szCs w:val="32"/>
        </w:rPr>
      </w:pPr>
      <w:r>
        <w:rPr>
          <w:rFonts w:hint="eastAsia" w:ascii="仿宋_GB2312" w:hAnsi="仿宋_GB2312" w:cs="仿宋_GB2312"/>
          <w:color w:val="000000"/>
          <w:sz w:val="32"/>
          <w:szCs w:val="32"/>
        </w:rPr>
        <w:t>6-4.基于教研室的基层教学组织建设与管理的研究</w:t>
      </w:r>
      <w:r>
        <w:rPr>
          <w:rFonts w:hint="eastAsia" w:ascii="仿宋_GB2312" w:hAnsi="仿宋_GB2312" w:cs="仿宋_GB2312"/>
          <w:sz w:val="32"/>
          <w:szCs w:val="32"/>
        </w:rPr>
        <w:t>与实践;</w:t>
      </w:r>
    </w:p>
    <w:p>
      <w:pPr>
        <w:ind w:firstLine="640" w:firstLineChars="200"/>
        <w:rPr>
          <w:rFonts w:hint="eastAsia" w:ascii="仿宋_GB2312" w:hAnsi="仿宋_GB2312" w:cs="仿宋_GB2312"/>
          <w:sz w:val="32"/>
          <w:szCs w:val="32"/>
        </w:rPr>
      </w:pPr>
      <w:r>
        <w:rPr>
          <w:rFonts w:hint="eastAsia" w:ascii="仿宋_GB2312" w:hAnsi="仿宋_GB2312" w:cs="仿宋_GB2312"/>
          <w:color w:val="000000"/>
          <w:sz w:val="32"/>
          <w:szCs w:val="32"/>
        </w:rPr>
        <w:t>6-5.基层教学组织的建设标准、管理模式与考核评价方式的研究</w:t>
      </w:r>
      <w:r>
        <w:rPr>
          <w:rFonts w:hint="eastAsia" w:ascii="仿宋_GB2312" w:hAnsi="仿宋_GB2312" w:cs="仿宋_GB2312"/>
          <w:sz w:val="32"/>
          <w:szCs w:val="32"/>
        </w:rPr>
        <w:t>与实践;</w:t>
      </w:r>
    </w:p>
    <w:p>
      <w:pPr>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6-6.大学生职业生涯规划、就业能力培养与就业指导服务的研究与实践；</w:t>
      </w:r>
    </w:p>
    <w:p>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6-7.高等学校专业结构调整与退出预警机制的研究与实践；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6-8.基于移动平台的教学管理系统研究与实践；</w:t>
      </w:r>
    </w:p>
    <w:p>
      <w:pPr>
        <w:ind w:firstLine="616" w:firstLineChars="200"/>
        <w:rPr>
          <w:rFonts w:hint="eastAsia" w:ascii="仿宋_GB2312" w:hAnsi="仿宋_GB2312" w:cs="仿宋_GB2312"/>
          <w:spacing w:val="-6"/>
          <w:sz w:val="32"/>
          <w:szCs w:val="32"/>
        </w:rPr>
      </w:pPr>
      <w:r>
        <w:rPr>
          <w:rFonts w:hint="eastAsia" w:ascii="仿宋_GB2312" w:hAnsi="仿宋_GB2312" w:cs="仿宋_GB2312"/>
          <w:spacing w:val="-6"/>
          <w:sz w:val="32"/>
          <w:szCs w:val="32"/>
        </w:rPr>
        <w:t>6-9.高职院校教学工作诊断与改进的研究与实践；</w:t>
      </w:r>
    </w:p>
    <w:p>
      <w:pPr>
        <w:ind w:firstLine="616" w:firstLineChars="200"/>
        <w:rPr>
          <w:rFonts w:hint="eastAsia" w:ascii="仿宋_GB2312" w:hAnsi="仿宋_GB2312" w:cs="仿宋_GB2312"/>
          <w:kern w:val="0"/>
          <w:sz w:val="32"/>
          <w:szCs w:val="32"/>
        </w:rPr>
      </w:pPr>
      <w:r>
        <w:rPr>
          <w:rFonts w:hint="eastAsia" w:ascii="仿宋_GB2312" w:hAnsi="仿宋_GB2312" w:cs="仿宋_GB2312"/>
          <w:spacing w:val="-6"/>
          <w:sz w:val="32"/>
          <w:szCs w:val="32"/>
        </w:rPr>
        <w:t>6-10.高等教育学分认定和转换的研究与实践。</w:t>
      </w:r>
    </w:p>
    <w:p>
      <w:r>
        <w:rPr>
          <w:rFonts w:hint="eastAsia" w:ascii="仿宋_GB2312" w:hAnsi="宋体" w:cs="Arial"/>
          <w:kern w:val="0"/>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91FAD"/>
    <w:rsid w:val="39591FA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0"/>
      <w:szCs w:val="3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2018-03-30T06:58:00Z</dcterms:created>
  <dc:creator>123 's ma ～</dc:creator>
  <cp:lastModifiedBy>123 's ma ～</cp:lastModifiedBy>
  <dcterms:modified xsi:type="dcterms:W3CDTF">2018-03-30T06:59:02Z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